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276"/>
      </w:pPr>
      <w:r>
        <w:rPr>
          <w:rFonts w:ascii="Calibri" w:cs="Calibri" w:eastAsia="Calibri" w:hAnsi="Calibri"/>
          <w:b/>
          <w:bCs/>
          <w:color w:val="0E7C66"/>
          <w:sz w:val="20"/>
          <w:szCs w:val="20"/>
        </w:rPr>
        <w:t xml:space="preserve">WHITE PAPER</w:t>
      </w:r>
    </w:p>
    <w:p>
      <w:pPr>
        <w:spacing w:after="120"/>
      </w:pPr>
      <w:r>
        <w:rPr>
          <w:rFonts w:ascii="Calibri" w:cs="Calibri" w:eastAsia="Calibri" w:hAnsi="Calibri"/>
          <w:b/>
          <w:bCs/>
          <w:color w:val="16302B"/>
          <w:sz w:val="44"/>
          <w:szCs w:val="44"/>
        </w:rPr>
        <w:t xml:space="preserve">The Governance Graph: Making Data Governance Queryable</w:t>
      </w:r>
    </w:p>
    <w:p>
      <w:pPr>
        <w:spacing w:after="260" w:line="276"/>
      </w:pPr>
      <w:r>
        <w:rPr>
          <w:rFonts w:ascii="Calibri" w:cs="Calibri" w:eastAsia="Calibri" w:hAnsi="Calibri"/>
          <w:color w:val="5B6B6A"/>
          <w:sz w:val="24"/>
          <w:szCs w:val="24"/>
        </w:rPr>
        <w:t xml:space="preserve">A knowledge graph approach to compliance gap analysis, lineage impact assessment, and AI-assisted metadata interrogation, with a working healthcare reference implementation</w:t>
      </w:r>
    </w:p>
    <w:p>
      <w:pPr>
        <w:spacing w:after="40" w:line="276"/>
      </w:pPr>
      <w:r>
        <w:rPr>
          <w:rFonts w:ascii="Calibri" w:cs="Calibri" w:eastAsia="Calibri" w:hAnsi="Calibri"/>
          <w:b/>
          <w:bCs/>
          <w:color w:val="16302B"/>
          <w:sz w:val="22"/>
          <w:szCs w:val="22"/>
        </w:rPr>
        <w:t xml:space="preserve">Sidney T. “Skip” Anderson, Ph.D.</w:t>
      </w:r>
    </w:p>
    <w:p>
      <w:pPr>
        <w:spacing w:after="40" w:line="276"/>
      </w:pPr>
      <w:r>
        <w:rPr>
          <w:rFonts w:ascii="Calibri" w:cs="Calibri" w:eastAsia="Calibri" w:hAnsi="Calibri"/>
          <w:color w:val="5B6B6A"/>
          <w:sz w:val="22"/>
          <w:szCs w:val="22"/>
        </w:rPr>
        <w:t xml:space="preserve">ARConsultancy LLC  |  McCoy College of Business, Texas State University</w:t>
      </w:r>
    </w:p>
    <w:p>
      <w:pPr>
        <w:spacing w:after="300" w:line="276"/>
      </w:pPr>
      <w:r>
        <w:rPr>
          <w:rFonts w:ascii="Calibri" w:cs="Calibri" w:eastAsia="Calibri" w:hAnsi="Calibri"/>
          <w:color w:val="5B6B6A"/>
          <w:sz w:val="22"/>
          <w:szCs w:val="22"/>
        </w:rPr>
        <w:t xml:space="preserve">August 2026  |  Demo: knowledgegraph.citationmanager.in</w:t>
      </w:r>
    </w:p>
    <w:p>
      <w:pPr>
        <w:pStyle w:val="Heading1"/>
        <w:spacing w:after="160" w:before="340"/>
      </w:pPr>
      <w:r>
        <w:rPr>
          <w:rFonts w:ascii="Calibri" w:cs="Calibri" w:eastAsia="Calibri" w:hAnsi="Calibri"/>
          <w:b/>
          <w:bCs/>
          <w:color w:val="16302B"/>
          <w:sz w:val="30"/>
          <w:szCs w:val="30"/>
        </w:rPr>
        <w:t xml:space="preserve">Executive Summary</w:t>
      </w:r>
    </w:p>
    <w:p>
      <w:pPr>
        <w:spacing w:after="160" w:line="276"/>
      </w:pPr>
      <w:r>
        <w:rPr>
          <w:rFonts w:ascii="Calibri" w:cs="Calibri" w:eastAsia="Calibri" w:hAnsi="Calibri"/>
          <w:color w:val="16302B"/>
          <w:sz w:val="22"/>
          <w:szCs w:val="22"/>
        </w:rPr>
        <w:t xml:space="preserve">Most organizations document their data governance in catalogs, spreadsheets, and policy binders. These tools store facts about data but not the relationships among those facts, and governance is fundamentally a relationship problem: a policy applies to a data element, which lives in a system, which feeds a report, which supports a regulatory filing, which is the responsibility of a person who may have left the company last quarter. When the connections are implicit, the questions that matter most, such as what breaks downstream, what is exposed, and who is accountable, require manual archaeology.</w:t>
      </w:r>
    </w:p>
    <w:p>
      <w:pPr>
        <w:spacing w:after="160" w:line="276"/>
      </w:pPr>
      <w:r>
        <w:rPr>
          <w:rFonts w:ascii="Calibri" w:cs="Calibri" w:eastAsia="Calibri" w:hAnsi="Calibri"/>
          <w:color w:val="16302B"/>
          <w:sz w:val="22"/>
          <w:szCs w:val="22"/>
        </w:rPr>
        <w:t xml:space="preserve">This paper describes a working alternative: a data governance knowledge graph that stores assets, lineage, controls, policies, regulations, stewards, reports, quality rules, and risk acceptances as a connected network, then answers governance questions as graph traversals. The approach is demonstrated on a complete synthetic environment, Meridian Health Partners, a fictional regional health system with 199 nodes and 440 relationships spanning an EHR, claims platform, lab system, patient portal, CRM, and a multi-layer warehouse, governed under HIPAA, HITECH, 42 CFR Part 2, CMS reporting requirements, and Texas privacy law.</w:t>
      </w:r>
    </w:p>
    <w:p>
      <w:pPr>
        <w:spacing w:after="160" w:line="276"/>
      </w:pPr>
      <w:r>
        <w:rPr>
          <w:rFonts w:ascii="Calibri" w:cs="Calibri" w:eastAsia="Calibri" w:hAnsi="Calibri"/>
          <w:color w:val="16302B"/>
          <w:sz w:val="22"/>
          <w:szCs w:val="22"/>
        </w:rPr>
        <w:t xml:space="preserve">Three results are highlighted. First, a single traversal query surfaces the full compliance posture, including gaps that catalogs structurally cannot see, such as protected data inheriting sensitivity through lineage while losing its controls. Second, a tiered scoring layer converts an unusable wall of 53 findings into 16 prioritized items with distinct remediation owners, resolving the tension between audit completeness and operational usability. Third, two AI retrieval patterns over the graph let stakeholders interrogate governance in plain English, with guardrails that keep model access read-only and grounded.</w:t>
      </w:r>
    </w:p>
    <w:p>
      <w:pPr>
        <w:pStyle w:val="Heading1"/>
        <w:spacing w:after="160" w:before="340"/>
      </w:pPr>
      <w:r>
        <w:rPr>
          <w:rFonts w:ascii="Calibri" w:cs="Calibri" w:eastAsia="Calibri" w:hAnsi="Calibri"/>
          <w:b/>
          <w:bCs/>
          <w:color w:val="16302B"/>
          <w:sz w:val="30"/>
          <w:szCs w:val="30"/>
        </w:rPr>
        <w:t xml:space="preserve">1. The Problem: Governance Data Without Governance Structure</w:t>
      </w:r>
    </w:p>
    <w:p>
      <w:pPr>
        <w:spacing w:after="160" w:line="276"/>
      </w:pPr>
      <w:r>
        <w:rPr>
          <w:rFonts w:ascii="Calibri" w:cs="Calibri" w:eastAsia="Calibri" w:hAnsi="Calibri"/>
          <w:color w:val="16302B"/>
          <w:sz w:val="22"/>
          <w:szCs w:val="22"/>
        </w:rPr>
        <w:t xml:space="preserve">Data catalogs have made real progress on inventory: most mature organizations can list their tables, tag their PII, and name their stewards. What remains hard is everything that spans those inventories. Consider four questions any CDO, auditor, or privacy officer routinely needs answered:</w:t>
      </w:r>
    </w:p>
    <w:p>
      <w:pPr>
        <w:pStyle w:val="ListParagraph"/>
        <w:numPr>
          <w:ilvl w:val="0"/>
          <w:numId w:val="2"/>
        </w:numPr>
        <w:spacing w:after="90" w:line="276"/>
      </w:pPr>
      <w:r>
        <w:rPr>
          <w:rFonts w:ascii="Calibri" w:cs="Calibri" w:eastAsia="Calibri" w:hAnsi="Calibri"/>
          <w:color w:val="16302B"/>
          <w:sz w:val="22"/>
          <w:szCs w:val="22"/>
        </w:rPr>
        <w:t xml:space="preserve">If we deprecate this source table, which downstream reports, models, and regulatory filings break?</w:t>
      </w:r>
    </w:p>
    <w:p>
      <w:pPr>
        <w:pStyle w:val="ListParagraph"/>
        <w:numPr>
          <w:ilvl w:val="0"/>
          <w:numId w:val="2"/>
        </w:numPr>
        <w:spacing w:after="90" w:line="276"/>
      </w:pPr>
      <w:r>
        <w:rPr>
          <w:rFonts w:ascii="Calibri" w:cs="Calibri" w:eastAsia="Calibri" w:hAnsi="Calibri"/>
          <w:color w:val="16302B"/>
          <w:sz w:val="22"/>
          <w:szCs w:val="22"/>
        </w:rPr>
        <w:t xml:space="preserve">Which protected data elements have no control mapped to the regulation that governs them?</w:t>
      </w:r>
    </w:p>
    <w:p>
      <w:pPr>
        <w:pStyle w:val="ListParagraph"/>
        <w:numPr>
          <w:ilvl w:val="0"/>
          <w:numId w:val="2"/>
        </w:numPr>
        <w:spacing w:after="90" w:line="276"/>
      </w:pPr>
      <w:r>
        <w:rPr>
          <w:rFonts w:ascii="Calibri" w:cs="Calibri" w:eastAsia="Calibri" w:hAnsi="Calibri"/>
          <w:color w:val="16302B"/>
          <w:sz w:val="22"/>
          <w:szCs w:val="22"/>
        </w:rPr>
        <w:t xml:space="preserve">Which assets have no accountable steward, or a steward who has departed?</w:t>
      </w:r>
    </w:p>
    <w:p>
      <w:pPr>
        <w:pStyle w:val="ListParagraph"/>
        <w:numPr>
          <w:ilvl w:val="0"/>
          <w:numId w:val="2"/>
        </w:numPr>
        <w:spacing w:after="90" w:line="276"/>
      </w:pPr>
      <w:r>
        <w:rPr>
          <w:rFonts w:ascii="Calibri" w:cs="Calibri" w:eastAsia="Calibri" w:hAnsi="Calibri"/>
          <w:color w:val="16302B"/>
          <w:sz w:val="22"/>
          <w:szCs w:val="22"/>
        </w:rPr>
        <w:t xml:space="preserve">Does every asset feeding this regulatory submission have data quality coverage?</w:t>
      </w:r>
    </w:p>
    <w:p>
      <w:pPr>
        <w:spacing w:after="160" w:line="276"/>
      </w:pPr>
      <w:r>
        <w:rPr>
          <w:rFonts w:ascii="Calibri" w:cs="Calibri" w:eastAsia="Calibri" w:hAnsi="Calibri"/>
          <w:color w:val="16302B"/>
          <w:sz w:val="22"/>
          <w:szCs w:val="22"/>
        </w:rPr>
        <w:t xml:space="preserve">Each question is a path through relationships: lineage chains, control-to-policy-to-regulation mappings, stewardship assignments, report consumption. In relational catalogs these paths exist only as joins someone must construct by hand, and multi-hop questions, such as impact analysis across five lineage levels, become expensive projects rather than queries. The result is familiar: governance documentation that is simultaneously extensive and unable to answer the questions it exists for.</w:t>
      </w:r>
    </w:p>
    <w:p>
      <w:pPr>
        <w:pStyle w:val="Heading1"/>
        <w:spacing w:after="160" w:before="340"/>
      </w:pPr>
      <w:r>
        <w:rPr>
          <w:rFonts w:ascii="Calibri" w:cs="Calibri" w:eastAsia="Calibri" w:hAnsi="Calibri"/>
          <w:b/>
          <w:bCs/>
          <w:color w:val="16302B"/>
          <w:sz w:val="30"/>
          <w:szCs w:val="30"/>
        </w:rPr>
        <w:t xml:space="preserve">2. The Approach: An Ontology for Governance</w:t>
      </w:r>
    </w:p>
    <w:p>
      <w:pPr>
        <w:spacing w:after="160" w:line="276"/>
      </w:pPr>
      <w:r>
        <w:rPr>
          <w:rFonts w:ascii="Calibri" w:cs="Calibri" w:eastAsia="Calibri" w:hAnsi="Calibri"/>
          <w:color w:val="16302B"/>
          <w:sz w:val="22"/>
          <w:szCs w:val="22"/>
        </w:rPr>
        <w:t xml:space="preserve">A knowledge graph stores entities as nodes and relationships as first-class, traversable edges. The ontology developed here is deliberately compact, ten node types and fifteen relationship types, borrowing vocabulary from DCAT and the EDM Council CDMC capability model so that terms map to recognized standards rather than invented ones.</w:t>
      </w:r>
    </w:p>
    <w:p>
      <w:pPr>
        <w:spacing w:after="160" w:line="276"/>
      </w:pPr>
      <w:r>
        <w:rPr>
          <w:rFonts w:ascii="Calibri" w:cs="Calibri" w:eastAsia="Calibri" w:hAnsi="Calibri"/>
          <w:color w:val="16302B"/>
          <w:sz w:val="22"/>
          <w:szCs w:val="22"/>
        </w:rPr>
        <w:t xml:space="preserve">Node types: DataAsset (tables and columns, each carrying a classification of PHI, PII, Confidential, Internal, or DeIdentified), System, Regulation, Policy, Control, BusinessTerm, Person, OrgUnit, Report, DataQualityRule, and RiskAcceptance.</w:t>
      </w:r>
    </w:p>
    <w:p>
      <w:pPr>
        <w:spacing w:after="160" w:line="276"/>
      </w:pPr>
      <w:r>
        <w:rPr>
          <w:rFonts w:ascii="Calibri" w:cs="Calibri" w:eastAsia="Calibri" w:hAnsi="Calibri"/>
          <w:color w:val="16302B"/>
          <w:sz w:val="22"/>
          <w:szCs w:val="22"/>
        </w:rPr>
        <w:t xml:space="preserve">The relationships carry the governance logic. Lineage is DERIVED_FROM between assets. The compliance chain is Control APPLIED_TO asset, Control ENFORCES Policy, Policy IMPLEMENTS Regulation, which makes “governed under HIPAA Security” a three-hop path rather than a checkbox. Accountability is Person STEWARD_OF asset, with an active flag that captures departures. Consumption is Report CONSUMES asset, and assurance is DataQualityRule VALIDATES asset. RiskAcceptance nodes attach to assets with an owner and an expiry date, bringing the findings lifecycle into the graph itself.</w:t>
      </w:r>
    </w:p>
    <w:p>
      <w:pPr>
        <w:pStyle w:val="Heading1"/>
        <w:spacing w:after="160" w:before="340"/>
      </w:pPr>
      <w:r>
        <w:rPr>
          <w:rFonts w:ascii="Calibri" w:cs="Calibri" w:eastAsia="Calibri" w:hAnsi="Calibri"/>
          <w:b/>
          <w:bCs/>
          <w:color w:val="16302B"/>
          <w:sz w:val="30"/>
          <w:szCs w:val="30"/>
        </w:rPr>
        <w:t xml:space="preserve">3. Reference Implementation: Meridian Health Partners</w:t>
      </w:r>
    </w:p>
    <w:p>
      <w:pPr>
        <w:spacing w:after="160" w:line="276"/>
      </w:pPr>
      <w:r>
        <w:rPr>
          <w:rFonts w:ascii="Calibri" w:cs="Calibri" w:eastAsia="Calibri" w:hAnsi="Calibri"/>
          <w:color w:val="16302B"/>
          <w:sz w:val="22"/>
          <w:szCs w:val="22"/>
        </w:rPr>
        <w:t xml:space="preserve">To make the method inspectable end to end, the implementation uses a fully synthetic healthcare environment rather than client data. Meridian Health Partners operates a clinical EHR, a claims adjudication platform, a lab system, a patient portal, and an outreach CRM, feeding a warehouse with staging, integrated, and mart layers that power seven reports, including CMS and HEDIS regulatory submissions. The environment contains deliberately seeded governance defects of the kinds encountered in practice: undocumented encryption on source systems, departed stewards still listed as accountable, conflicting business term definitions across org units, quality rule gaps in a regulatory pipeline, and an expired risk acceptance.</w:t>
      </w:r>
    </w:p>
    <w:p>
      <w:pPr>
        <w:spacing w:after="160" w:line="276"/>
      </w:pPr>
      <w:r>
        <w:rPr>
          <w:rFonts w:ascii="Calibri" w:cs="Calibri" w:eastAsia="Calibri" w:hAnsi="Calibri"/>
          <w:color w:val="16302B"/>
          <w:sz w:val="22"/>
          <w:szCs w:val="22"/>
        </w:rPr>
        <w:t xml:space="preserve">One defect emerged from the model rather than being planted, and it illustrates the core argument. Substance use disorder treatment notes, protected under 42 CFR Part 2, carry row-level security at the source system. Lineage shows those notes flowing into an integrated patient view with no equivalent segmentation control downstream. The sensitivity traveled with the data; the protection did not. A catalog lists both tables correctly and sees nothing wrong. The graph, because it holds lineage and controls in one structure, surfaces the inheritance gap in a single query.</w:t>
      </w:r>
    </w:p>
    <w:p>
      <w:pPr>
        <w:pStyle w:val="Heading1"/>
        <w:spacing w:after="160" w:before="340"/>
      </w:pPr>
      <w:r>
        <w:rPr>
          <w:rFonts w:ascii="Calibri" w:cs="Calibri" w:eastAsia="Calibri" w:hAnsi="Calibri"/>
          <w:b/>
          <w:bCs/>
          <w:color w:val="16302B"/>
          <w:sz w:val="30"/>
          <w:szCs w:val="30"/>
        </w:rPr>
        <w:t xml:space="preserve">4. From Completeness to Decision: The Tiering Result</w:t>
      </w:r>
    </w:p>
    <w:p>
      <w:pPr>
        <w:spacing w:after="160" w:line="276"/>
      </w:pPr>
      <w:r>
        <w:rPr>
          <w:rFonts w:ascii="Calibri" w:cs="Calibri" w:eastAsia="Calibri" w:hAnsi="Calibri"/>
          <w:color w:val="16302B"/>
          <w:sz w:val="22"/>
          <w:szCs w:val="22"/>
        </w:rPr>
        <w:t xml:space="preserve">The central methodological finding concerns a tension every governance program faces. A complete compliance query, here, every PHI or PII asset with no control tracing to the HIPAA Security Rule, returns 53 findings in the Meridian environment. Completeness is the correct posture, since regulators do not scope their reviews to where documentation is best. But 53 undifferentiated findings produce alert fatigue, and in production environments the number is thousands. The common response, narrowing the query, is the wrong fix: it encodes invisible scoping assumptions into the analysis and manufactures false comfort.</w:t>
      </w:r>
    </w:p>
    <w:p>
      <w:pPr>
        <w:spacing w:after="160" w:line="276"/>
      </w:pPr>
      <w:r>
        <w:rPr>
          <w:rFonts w:ascii="Calibri" w:cs="Calibri" w:eastAsia="Calibri" w:hAnsi="Calibri"/>
          <w:color w:val="16302B"/>
          <w:sz w:val="22"/>
          <w:szCs w:val="22"/>
        </w:rPr>
        <w:t xml:space="preserve">The resolution demonstrated here: </w:t>
      </w:r>
      <w:r>
        <w:rPr>
          <w:rFonts w:ascii="Calibri" w:cs="Calibri" w:eastAsia="Calibri" w:hAnsi="Calibri"/>
          <w:b/>
          <w:bCs/>
          <w:color w:val="16302B"/>
          <w:sz w:val="22"/>
          <w:szCs w:val="22"/>
        </w:rPr>
        <w:t xml:space="preserve">completeness belongs in the query; precision belongs in the presentation. </w:t>
      </w:r>
      <w:r>
        <w:rPr>
          <w:rFonts w:ascii="Calibri" w:cs="Calibri" w:eastAsia="Calibri" w:hAnsi="Calibri"/>
          <w:color w:val="16302B"/>
          <w:sz w:val="22"/>
          <w:szCs w:val="22"/>
        </w:rPr>
        <w:t xml:space="preserve">Every finding is retained and scored on three dimensions available in the graph: data classification (PHI weighs more than PII), gap type (a control that is absent outweighs one that exists but was never cataloged), and regulatory exposure (whether a regulatory report is reachable downstream through lineage). Findings under an unexpired risk acceptance are suppressed from the executive view but never deleted, and expired acceptances resurface automatically.</w:t>
      </w:r>
    </w:p>
    <w:p>
      <w:pPr>
        <w:spacing w:after="160" w:line="276"/>
      </w:pPr>
      <w:r>
        <w:rPr>
          <w:rFonts w:ascii="Calibri" w:cs="Calibri" w:eastAsia="Calibri" w:hAnsi="Calibri"/>
          <w:color w:val="16302B"/>
          <w:sz w:val="22"/>
          <w:szCs w:val="22"/>
        </w:rPr>
        <w:t xml:space="preserve">Applied to Meridian, the 53 findings collapse into a decision structure: 16 Tier 1 items splitting into two remediation paths with different owners (4 where encryption is genuinely absent, routed to security; 12 where control status is unverified, routed to system owners), and 36 Tier 2 items that are documentation debt rather than exposure, routed to the metadata backlog. One expired acceptance resurfaced on its own. The severity weights themselves are judgments, not derived truths; the graph’s contribution is making them explicit, reproducible, and adjustable in one place, which is precisely what a defensible risk methodology requires.</w:t>
      </w:r>
    </w:p>
    <w:p>
      <w:pPr>
        <w:pStyle w:val="Heading1"/>
        <w:spacing w:after="160" w:before="340"/>
      </w:pPr>
      <w:r>
        <w:rPr>
          <w:rFonts w:ascii="Calibri" w:cs="Calibri" w:eastAsia="Calibri" w:hAnsi="Calibri"/>
          <w:b/>
          <w:bCs/>
          <w:color w:val="16302B"/>
          <w:sz w:val="30"/>
          <w:szCs w:val="30"/>
        </w:rPr>
        <w:t xml:space="preserve">5. AI on Top: Two Retrieval Patterns and Their Guardrails</w:t>
      </w:r>
    </w:p>
    <w:p>
      <w:pPr>
        <w:spacing w:after="160" w:line="276"/>
      </w:pPr>
      <w:r>
        <w:rPr>
          <w:rFonts w:ascii="Calibri" w:cs="Calibri" w:eastAsia="Calibri" w:hAnsi="Calibri"/>
          <w:color w:val="16302B"/>
          <w:sz w:val="22"/>
          <w:szCs w:val="22"/>
        </w:rPr>
        <w:t xml:space="preserve">A governance graph becomes considerably more useful when non-technical stakeholders can interrogate it directly. The implementation demonstrates the two canonical patterns for connecting a large language model to a graph, chosen because they occupy different points on the power-versus-risk spectrum.</w:t>
      </w:r>
    </w:p>
    <w:p>
      <w:pPr>
        <w:spacing w:after="160" w:line="276"/>
      </w:pPr>
      <w:r>
        <w:rPr>
          <w:rFonts w:ascii="Calibri" w:cs="Calibri" w:eastAsia="Calibri" w:hAnsi="Calibri"/>
          <w:b/>
          <w:bCs/>
          <w:color w:val="16302B"/>
          <w:sz w:val="22"/>
          <w:szCs w:val="22"/>
        </w:rPr>
        <w:t xml:space="preserve">Subgraph retrieval. </w:t>
      </w:r>
      <w:r>
        <w:rPr>
          <w:rFonts w:ascii="Calibri" w:cs="Calibri" w:eastAsia="Calibri" w:hAnsi="Calibri"/>
          <w:color w:val="16302B"/>
          <w:sz w:val="22"/>
          <w:szCs w:val="22"/>
        </w:rPr>
        <w:t xml:space="preserve">A plain-English question seeds a keyword match over node names and definitions; a two-hop expansion assembles the relevant neighborhood; the model answers strictly from the retrieved triples plus precomputed analytical worksheets. The model never touches the database and cannot fabricate structure that was not retrieved. This pattern is safe enough to run client-side in a public demonstration.</w:t>
      </w:r>
    </w:p>
    <w:p>
      <w:pPr>
        <w:spacing w:after="160" w:line="276"/>
      </w:pPr>
      <w:r>
        <w:rPr>
          <w:rFonts w:ascii="Calibri" w:cs="Calibri" w:eastAsia="Calibri" w:hAnsi="Calibri"/>
          <w:b/>
          <w:bCs/>
          <w:color w:val="16302B"/>
          <w:sz w:val="22"/>
          <w:szCs w:val="22"/>
        </w:rPr>
        <w:t xml:space="preserve">Text-to-Cypher. </w:t>
      </w:r>
      <w:r>
        <w:rPr>
          <w:rFonts w:ascii="Calibri" w:cs="Calibri" w:eastAsia="Calibri" w:hAnsi="Calibri"/>
          <w:color w:val="16302B"/>
          <w:sz w:val="22"/>
          <w:szCs w:val="22"/>
        </w:rPr>
        <w:t xml:space="preserve">The model translates the question into a database query against an explicitly provided schema. This is more powerful, since it can express aggregations and absence checks the retrieval pattern cannot, and correspondingly riskier. The implementation wraps it in three guardrails: a read-only filter that rejects any generated query containing write operations, a single error-feedback retry loop, and a synthesis step constrained to the returned rows with the row count reported, so that any specific claim in the answer can be checked against the data that produced it.</w:t>
      </w:r>
    </w:p>
    <w:p>
      <w:pPr>
        <w:spacing w:after="160" w:line="276"/>
      </w:pPr>
      <w:r>
        <w:rPr>
          <w:rFonts w:ascii="Calibri" w:cs="Calibri" w:eastAsia="Calibri" w:hAnsi="Calibri"/>
          <w:color w:val="16302B"/>
          <w:sz w:val="22"/>
          <w:szCs w:val="22"/>
        </w:rPr>
        <w:t xml:space="preserve">The broader implication runs past governance reporting. As organizations deploy agentic AI systems that act on enterprise data, something must tell those agents which data is authoritative, sensitive, current, and permitted for a given use. A governance graph is a natural candidate for that trust layer: machine-readable, relationship-aware, and already encoding classification, control coverage, and accountability. The guardrail design demonstrated here, read-only access, explicit schemas, grounded synthesis, is a template for how agents should consume it.</w:t>
      </w:r>
    </w:p>
    <w:p>
      <w:pPr>
        <w:pStyle w:val="Heading1"/>
        <w:spacing w:after="160" w:before="340"/>
      </w:pPr>
      <w:r>
        <w:rPr>
          <w:rFonts w:ascii="Calibri" w:cs="Calibri" w:eastAsia="Calibri" w:hAnsi="Calibri"/>
          <w:b/>
          <w:bCs/>
          <w:color w:val="16302B"/>
          <w:sz w:val="30"/>
          <w:szCs w:val="30"/>
        </w:rPr>
        <w:t xml:space="preserve">6. Limitations and Honest Caveats</w:t>
      </w:r>
    </w:p>
    <w:p>
      <w:pPr>
        <w:pStyle w:val="ListParagraph"/>
        <w:numPr>
          <w:ilvl w:val="0"/>
          <w:numId w:val="2"/>
        </w:numPr>
        <w:spacing w:after="90" w:line="276"/>
      </w:pPr>
      <w:r>
        <w:rPr>
          <w:rFonts w:ascii="Calibri" w:cs="Calibri" w:eastAsia="Calibri" w:hAnsi="Calibri"/>
          <w:color w:val="16302B"/>
          <w:sz w:val="22"/>
          <w:szCs w:val="22"/>
        </w:rPr>
        <w:t xml:space="preserve">The environment is synthetic. It was designed to contain realistic defects, which makes it ideal for method demonstration and training, and unsuitable for claims about defect prevalence in real organizations.</w:t>
      </w:r>
    </w:p>
    <w:p>
      <w:pPr>
        <w:pStyle w:val="ListParagraph"/>
        <w:numPr>
          <w:ilvl w:val="0"/>
          <w:numId w:val="2"/>
        </w:numPr>
        <w:spacing w:after="90" w:line="276"/>
      </w:pPr>
      <w:r>
        <w:rPr>
          <w:rFonts w:ascii="Calibri" w:cs="Calibri" w:eastAsia="Calibri" w:hAnsi="Calibri"/>
          <w:color w:val="16302B"/>
          <w:sz w:val="22"/>
          <w:szCs w:val="22"/>
        </w:rPr>
        <w:t xml:space="preserve">Severity weights encode judgment. In client settings the weights should come from a risk workshop, not from this paper. The method’s value is making the weights explicit and reproducible.</w:t>
      </w:r>
    </w:p>
    <w:p>
      <w:pPr>
        <w:pStyle w:val="ListParagraph"/>
        <w:numPr>
          <w:ilvl w:val="0"/>
          <w:numId w:val="2"/>
        </w:numPr>
        <w:spacing w:after="90" w:line="276"/>
      </w:pPr>
      <w:r>
        <w:rPr>
          <w:rFonts w:ascii="Calibri" w:cs="Calibri" w:eastAsia="Calibri" w:hAnsi="Calibri"/>
          <w:color w:val="16302B"/>
          <w:sz w:val="22"/>
          <w:szCs w:val="22"/>
        </w:rPr>
        <w:t xml:space="preserve">Metadata acquisition is the expensive part. This implementation hand-curates its metadata; production deployments must harvest lineage and control mappings from pipelines, catalogs, and policy documents. AI-assisted extraction with human approval is the natural next stage and the subject of ongoing work.</w:t>
      </w:r>
    </w:p>
    <w:p>
      <w:pPr>
        <w:pStyle w:val="ListParagraph"/>
        <w:numPr>
          <w:ilvl w:val="0"/>
          <w:numId w:val="2"/>
        </w:numPr>
        <w:spacing w:after="90" w:line="276"/>
      </w:pPr>
      <w:r>
        <w:rPr>
          <w:rFonts w:ascii="Calibri" w:cs="Calibri" w:eastAsia="Calibri" w:hAnsi="Calibri"/>
          <w:color w:val="16302B"/>
          <w:sz w:val="22"/>
          <w:szCs w:val="22"/>
        </w:rPr>
        <w:t xml:space="preserve">Point-in-time correctness is out of scope here. Auditors ask what was known when; a production graph needs temporal versioning of nodes and relationships.</w:t>
      </w:r>
    </w:p>
    <w:p>
      <w:pPr>
        <w:pStyle w:val="Heading1"/>
        <w:spacing w:after="160" w:before="340"/>
      </w:pPr>
      <w:r>
        <w:rPr>
          <w:rFonts w:ascii="Calibri" w:cs="Calibri" w:eastAsia="Calibri" w:hAnsi="Calibri"/>
          <w:b/>
          <w:bCs/>
          <w:color w:val="16302B"/>
          <w:sz w:val="30"/>
          <w:szCs w:val="30"/>
        </w:rPr>
        <w:t xml:space="preserve">7. Conclusion</w:t>
      </w:r>
    </w:p>
    <w:p>
      <w:pPr>
        <w:spacing w:after="160" w:line="276"/>
      </w:pPr>
      <w:r>
        <w:rPr>
          <w:rFonts w:ascii="Calibri" w:cs="Calibri" w:eastAsia="Calibri" w:hAnsi="Calibri"/>
          <w:color w:val="16302B"/>
          <w:sz w:val="22"/>
          <w:szCs w:val="22"/>
        </w:rPr>
        <w:t xml:space="preserve">Data governance fails less often from missing documentation than from documentation that cannot be interrogated. Representing governance as a graph turns impact analysis, compliance gap detection, accountability review, and regulatory readiness into queries that run in seconds, and turns the perennial completeness-versus-usability argument into a solved design problem: keep the query complete, score the output. With disciplined guardrails, the same structure becomes a foundation for AI-assisted governance and, further out, a trust layer for agentic systems acting on enterprise data.</w:t>
      </w:r>
    </w:p>
    <w:p>
      <w:pPr>
        <w:spacing w:after="160" w:line="276"/>
      </w:pPr>
      <w:r>
        <w:rPr>
          <w:rFonts w:ascii="Calibri" w:cs="Calibri" w:eastAsia="Calibri" w:hAnsi="Calibri"/>
          <w:color w:val="16302B"/>
          <w:sz w:val="22"/>
          <w:szCs w:val="22"/>
        </w:rPr>
        <w:t xml:space="preserve">The complete implementation, including the ontology, synthetic environment, queries, scoring model, and both AI retrieval patterns, is available as an interactive demonstration at knowledgegraph.citationmanager.in.</w:t>
      </w:r>
    </w:p>
    <w:p>
      <w:pPr>
        <w:pStyle w:val="Heading2"/>
        <w:spacing w:after="120" w:before="240"/>
      </w:pPr>
      <w:r>
        <w:rPr>
          <w:rFonts w:ascii="Calibri" w:cs="Calibri" w:eastAsia="Calibri" w:hAnsi="Calibri"/>
          <w:b/>
          <w:bCs/>
          <w:color w:val="0E7C66"/>
          <w:sz w:val="25"/>
          <w:szCs w:val="25"/>
        </w:rPr>
        <w:t xml:space="preserve">About the Author</w:t>
      </w:r>
    </w:p>
    <w:p>
      <w:pPr>
        <w:spacing w:after="160" w:line="276"/>
      </w:pPr>
      <w:r>
        <w:rPr>
          <w:rFonts w:ascii="Calibri" w:cs="Calibri" w:eastAsia="Calibri" w:hAnsi="Calibri"/>
          <w:color w:val="16302B"/>
          <w:sz w:val="22"/>
          <w:szCs w:val="22"/>
        </w:rPr>
        <w:t xml:space="preserve">Sidney T. “Skip” Anderson, Ph.D., is Associate Professor of Marketing at the McCoy College of Business, Texas State University, where he holds the Scott Emerson Professorship of Business Administration and chairs the college’s AI task force. He is the principal of ARConsultancy LLC, an advisory practice focused on AI strategy and agentic systems, and brings more than two decades of prior enterprise experience in data governance, ETL, and systems integration.</w:t>
      </w:r>
    </w:p>
    <w:sectPr>
      <w:footerReference w:type="default" r:id="rId7"/>
      <w:pgSz w:w="12240" w:h="15840" w:orient="portrait"/>
      <w:pgMar w:top="1440" w:right="1440" w:bottom="1440" w:left="1440" w:header="708" w:footer="708" w:gutter="0"/>
      <w:pgNumType w:start="1" w:fmt="decimal"/>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B6B6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6302B"/>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2026-08-26T22:04:46.280Z</dcterms:created>
  <dcterms:modified xsi:type="dcterms:W3CDTF">2026-08-26T22:04:46.292Z</dcterms:modified>
</cp:coreProperties>
</file>

<file path=docProps/custom.xml><?xml version="1.0" encoding="utf-8"?>
<Properties xmlns="http://schemas.openxmlformats.org/officeDocument/2006/custom-properties" xmlns:vt="http://schemas.openxmlformats.org/officeDocument/2006/docPropsVTypes"/>
</file>